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B88BA">
      <w:pPr>
        <w:pStyle w:val="5"/>
        <w:keepNext w:val="0"/>
        <w:keepLines w:val="0"/>
        <w:widowControl w:val="0"/>
        <w:suppressLineNumbers w:val="0"/>
        <w:autoSpaceDE w:val="0"/>
        <w:autoSpaceDN w:val="0"/>
        <w:spacing w:before="11" w:beforeAutospacing="0" w:after="0" w:afterAutospacing="0"/>
        <w:ind w:left="0" w:right="0"/>
        <w:jc w:val="left"/>
        <w:rPr>
          <w:sz w:val="24"/>
          <w:szCs w:val="32"/>
          <w:lang w:val="en-US" w:eastAsia="zh-CN"/>
        </w:rPr>
      </w:pPr>
      <w:bookmarkStart w:id="0" w:name="_GoBack"/>
      <w:bookmarkEnd w:id="0"/>
    </w:p>
    <w:p w14:paraId="1880CDC6">
      <w:pPr>
        <w:pStyle w:val="5"/>
        <w:keepNext w:val="0"/>
        <w:keepLines w:val="0"/>
        <w:widowControl w:val="0"/>
        <w:suppressLineNumbers w:val="0"/>
        <w:autoSpaceDE w:val="0"/>
        <w:autoSpaceDN w:val="0"/>
        <w:spacing w:before="54" w:beforeAutospacing="0" w:after="0" w:afterAutospacing="0"/>
        <w:ind w:left="206" w:right="0"/>
        <w:jc w:val="left"/>
        <w:rPr>
          <w:rFonts w:hint="eastAsia" w:ascii="黑体" w:hAnsi="仿宋_GB2312" w:eastAsia="黑体" w:cs="黑体"/>
          <w:lang w:val="en-US" w:eastAsia="zh-CN"/>
        </w:rPr>
      </w:pPr>
      <w:r>
        <w:rPr>
          <w:rFonts w:hint="eastAsia" w:ascii="黑体" w:hAnsi="仿宋_GB2312" w:eastAsia="黑体" w:cs="黑体"/>
          <w:kern w:val="0"/>
          <w:sz w:val="32"/>
          <w:szCs w:val="32"/>
          <w:lang w:val="en-US" w:eastAsia="zh-CN" w:bidi="ar"/>
        </w:rPr>
        <w:t>附件</w:t>
      </w:r>
    </w:p>
    <w:p w14:paraId="246F533B">
      <w:pPr>
        <w:pStyle w:val="5"/>
        <w:keepNext w:val="0"/>
        <w:keepLines w:val="0"/>
        <w:widowControl w:val="0"/>
        <w:suppressLineNumbers w:val="0"/>
        <w:autoSpaceDE w:val="0"/>
        <w:autoSpaceDN w:val="0"/>
        <w:spacing w:before="0" w:beforeAutospacing="0" w:after="0" w:afterAutospacing="0"/>
        <w:ind w:left="0" w:right="0"/>
        <w:jc w:val="left"/>
        <w:rPr>
          <w:rFonts w:hint="eastAsia" w:ascii="黑体" w:hAnsi="仿宋_GB2312" w:eastAsia="仿宋_GB2312" w:cs="黑体"/>
          <w:sz w:val="20"/>
          <w:szCs w:val="32"/>
          <w:lang w:val="en-US" w:eastAsia="zh-CN"/>
        </w:rPr>
      </w:pPr>
    </w:p>
    <w:p w14:paraId="6B5006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长顺县“十五五”规划编制资料</w:t>
      </w:r>
    </w:p>
    <w:p w14:paraId="5015D1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收集清单及任务分工</w:t>
      </w:r>
    </w:p>
    <w:p w14:paraId="242E62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000000"/>
          <w:kern w:val="0"/>
          <w:sz w:val="32"/>
          <w:szCs w:val="32"/>
          <w:lang w:val="en-US" w:eastAsia="zh-CN" w:bidi="ar"/>
        </w:rPr>
      </w:pPr>
    </w:p>
    <w:p w14:paraId="68504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w:t>
      </w:r>
      <w:r>
        <w:rPr>
          <w:rFonts w:hint="eastAsia" w:ascii="楷体_GB2312" w:hAnsi="楷体_GB2312" w:eastAsia="楷体_GB2312" w:cs="楷体_GB2312"/>
          <w:b w:val="0"/>
          <w:bCs w:val="0"/>
          <w:color w:val="000000"/>
          <w:kern w:val="0"/>
          <w:sz w:val="32"/>
          <w:szCs w:val="32"/>
          <w:lang w:val="en-US" w:eastAsia="zh-CN" w:bidi="ar"/>
        </w:rPr>
        <w:t>综合类</w:t>
      </w:r>
    </w:p>
    <w:p w14:paraId="6DC0C1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1.2021年以来，省、州、县政府工作报告。</w:t>
      </w:r>
      <w:r>
        <w:rPr>
          <w:rFonts w:hint="eastAsia" w:ascii="楷体_GB2312" w:hAnsi="楷体_GB2312" w:eastAsia="楷体_GB2312" w:cs="楷体_GB2312"/>
          <w:color w:val="000000"/>
          <w:kern w:val="0"/>
          <w:sz w:val="32"/>
          <w:szCs w:val="32"/>
          <w:lang w:val="en-US" w:eastAsia="zh-CN" w:bidi="ar"/>
        </w:rPr>
        <w:t>〔责任单位：县政府办〕</w:t>
      </w:r>
    </w:p>
    <w:p w14:paraId="4F953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2.“十四五”以来省、州、县领导在经济工作会议等综合性会议上的讲话材料。</w:t>
      </w:r>
      <w:r>
        <w:rPr>
          <w:rFonts w:hint="eastAsia" w:ascii="楷体_GB2312" w:hAnsi="楷体_GB2312" w:eastAsia="楷体_GB2312" w:cs="楷体_GB2312"/>
          <w:color w:val="000000"/>
          <w:kern w:val="0"/>
          <w:sz w:val="32"/>
          <w:szCs w:val="32"/>
          <w:lang w:val="en-US" w:eastAsia="zh-CN" w:bidi="ar"/>
        </w:rPr>
        <w:t>〔责任单位：县委办〕</w:t>
      </w:r>
    </w:p>
    <w:p w14:paraId="68CBF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3.县级“十四五”规划纲要、重点专项规划、规划纲要中期评估报告、重点专项规划中期评估报告。</w:t>
      </w:r>
      <w:r>
        <w:rPr>
          <w:rFonts w:hint="eastAsia" w:ascii="楷体_GB2312" w:hAnsi="楷体_GB2312" w:eastAsia="楷体_GB2312" w:cs="楷体_GB2312"/>
          <w:color w:val="000000"/>
          <w:kern w:val="0"/>
          <w:sz w:val="32"/>
          <w:szCs w:val="32"/>
          <w:lang w:val="en-US" w:eastAsia="zh-CN" w:bidi="ar"/>
        </w:rPr>
        <w:t>〔责任单位：县发展改革局、县教育局、县工业和信息化局等县直有关部门〕</w:t>
      </w:r>
    </w:p>
    <w:p w14:paraId="58A265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4.“十四五”规划纲要实施以来重点任务进展及成效、规划实施过程中存在的主要困难和问题及原因。</w:t>
      </w:r>
      <w:r>
        <w:rPr>
          <w:rFonts w:hint="eastAsia" w:ascii="楷体_GB2312" w:hAnsi="楷体_GB2312" w:eastAsia="楷体_GB2312" w:cs="楷体_GB2312"/>
          <w:color w:val="000000"/>
          <w:kern w:val="0"/>
          <w:sz w:val="32"/>
          <w:szCs w:val="32"/>
          <w:lang w:val="en-US" w:eastAsia="zh-CN" w:bidi="ar"/>
        </w:rPr>
        <w:t>〔责任单位：县发展改革局〕</w:t>
      </w:r>
    </w:p>
    <w:p w14:paraId="311B3B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5.县级“十四五”以来的统计年鉴、《国民经济和社会发展统计公报》。</w:t>
      </w:r>
      <w:r>
        <w:rPr>
          <w:rFonts w:hint="eastAsia" w:ascii="楷体_GB2312" w:hAnsi="楷体_GB2312" w:eastAsia="楷体_GB2312" w:cs="楷体_GB2312"/>
          <w:color w:val="000000"/>
          <w:kern w:val="0"/>
          <w:sz w:val="32"/>
          <w:szCs w:val="32"/>
          <w:lang w:val="en-US" w:eastAsia="zh-CN" w:bidi="ar"/>
        </w:rPr>
        <w:t>〔责任单位：县统计局〕</w:t>
      </w:r>
    </w:p>
    <w:p w14:paraId="784BFE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6.县直各部门及各镇（乡、街道）“十四五”以来工作总结。</w:t>
      </w:r>
      <w:r>
        <w:rPr>
          <w:rFonts w:hint="eastAsia" w:ascii="楷体_GB2312" w:hAnsi="楷体_GB2312" w:eastAsia="楷体_GB2312" w:cs="楷体_GB2312"/>
          <w:color w:val="000000"/>
          <w:kern w:val="0"/>
          <w:sz w:val="32"/>
          <w:szCs w:val="32"/>
          <w:lang w:val="en-US" w:eastAsia="zh-CN" w:bidi="ar"/>
        </w:rPr>
        <w:t>〔责任单位：各镇（乡、街道），县直各部门〕</w:t>
      </w:r>
    </w:p>
    <w:p w14:paraId="621BF0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7.县直各部门及各镇（乡、街道）“十五五”时期发展基本思路。</w:t>
      </w:r>
      <w:r>
        <w:rPr>
          <w:rFonts w:hint="eastAsia" w:ascii="楷体_GB2312" w:hAnsi="楷体_GB2312" w:eastAsia="楷体_GB2312" w:cs="楷体_GB2312"/>
          <w:color w:val="000000"/>
          <w:kern w:val="0"/>
          <w:sz w:val="32"/>
          <w:szCs w:val="32"/>
          <w:lang w:val="en-US" w:eastAsia="zh-CN" w:bidi="ar"/>
        </w:rPr>
        <w:t>〔责任单位：县直各部门，镇（乡、街道）〕</w:t>
      </w:r>
    </w:p>
    <w:p w14:paraId="75A2C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（二）“十五五”时期主要经济目标的考虑</w:t>
      </w:r>
    </w:p>
    <w:p w14:paraId="3CFB80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关于“十五五”时期全县GDP经济增长目标的考虑及支撑分析。</w:t>
      </w:r>
      <w:r>
        <w:rPr>
          <w:rFonts w:hint="default" w:ascii="楷体_GB2312" w:hAnsi="楷体_GB2312" w:eastAsia="楷体_GB2312" w:cs="楷体_GB2312"/>
          <w:color w:val="000000"/>
          <w:kern w:val="0"/>
          <w:sz w:val="32"/>
          <w:szCs w:val="32"/>
          <w:lang w:val="en-US" w:eastAsia="zh-CN" w:bidi="ar"/>
        </w:rPr>
        <w:t>〔责任单位：县发展改革委、县统计局〕</w:t>
      </w:r>
    </w:p>
    <w:p w14:paraId="7253E2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关于“十五五”时期全县固定资产投资年均增速目标的考虑支撑分析。</w:t>
      </w:r>
      <w:r>
        <w:rPr>
          <w:rFonts w:hint="default" w:ascii="楷体_GB2312" w:hAnsi="楷体_GB2312" w:eastAsia="楷体_GB2312" w:cs="楷体_GB2312"/>
          <w:color w:val="000000"/>
          <w:kern w:val="0"/>
          <w:sz w:val="32"/>
          <w:szCs w:val="32"/>
          <w:lang w:val="en-US" w:eastAsia="zh-CN" w:bidi="ar"/>
        </w:rPr>
        <w:t>〔责任单位：县发展改革局〕</w:t>
      </w:r>
    </w:p>
    <w:p w14:paraId="271D37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关于“十五五”时期全县社会消费品零售总额年均增速目标的考虑及支撑分析。</w:t>
      </w:r>
      <w:r>
        <w:rPr>
          <w:rFonts w:hint="default" w:ascii="楷体_GB2312" w:hAnsi="楷体_GB2312" w:eastAsia="楷体_GB2312" w:cs="楷体_GB2312"/>
          <w:color w:val="000000"/>
          <w:kern w:val="0"/>
          <w:sz w:val="32"/>
          <w:szCs w:val="32"/>
          <w:lang w:val="en-US" w:eastAsia="zh-CN" w:bidi="ar"/>
        </w:rPr>
        <w:t>〔责任单位：县工业和信息化局（县商务局）〕</w:t>
      </w:r>
    </w:p>
    <w:p w14:paraId="2AB69A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关于“十五五”时期全县城镇新增就业人口规模的考虑及支撑分析。</w:t>
      </w:r>
      <w:r>
        <w:rPr>
          <w:rFonts w:hint="default" w:ascii="楷体_GB2312" w:hAnsi="楷体_GB2312" w:eastAsia="楷体_GB2312" w:cs="楷体_GB2312"/>
          <w:color w:val="000000"/>
          <w:kern w:val="0"/>
          <w:sz w:val="32"/>
          <w:szCs w:val="32"/>
          <w:lang w:val="en-US" w:eastAsia="zh-CN" w:bidi="ar"/>
        </w:rPr>
        <w:t>〔责任单位：县人力资源和社会保障局〕</w:t>
      </w:r>
    </w:p>
    <w:p w14:paraId="64C547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关于“十五五”时期全县城镇和农村居民人均可支配收入年均增速目标的考虑及支撑分析。</w:t>
      </w:r>
      <w:r>
        <w:rPr>
          <w:rFonts w:hint="default" w:ascii="楷体_GB2312" w:hAnsi="楷体_GB2312" w:eastAsia="楷体_GB2312" w:cs="楷体_GB2312"/>
          <w:color w:val="000000"/>
          <w:kern w:val="0"/>
          <w:sz w:val="32"/>
          <w:szCs w:val="32"/>
          <w:lang w:val="en-US" w:eastAsia="zh-CN" w:bidi="ar"/>
        </w:rPr>
        <w:t>〔责任单位：县人力资源和社会保障局、县农业农村局〕</w:t>
      </w:r>
    </w:p>
    <w:p w14:paraId="00960D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关于“十五五”时期全县一般公共预算收入年均增速目标的考虑及支撑分析。</w:t>
      </w:r>
      <w:r>
        <w:rPr>
          <w:rFonts w:hint="default" w:ascii="楷体_GB2312" w:hAnsi="楷体_GB2312" w:eastAsia="楷体_GB2312" w:cs="楷体_GB2312"/>
          <w:color w:val="000000"/>
          <w:kern w:val="0"/>
          <w:sz w:val="32"/>
          <w:szCs w:val="32"/>
          <w:lang w:val="en-US" w:eastAsia="zh-CN" w:bidi="ar"/>
        </w:rPr>
        <w:t>〔责任单位：县财政局〕</w:t>
      </w:r>
    </w:p>
    <w:p w14:paraId="77AF75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（三）产业发展情况</w:t>
      </w:r>
    </w:p>
    <w:p w14:paraId="12EA17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全县工业发展情况，规模以上工业增加值预计完成情况，面临的主要障碍和问题，“六大产业基地”等有关政策措施的实施情况和成效，面临的主要困难和问题，正在实施的有关工作方案，“十五五”时期改造升级传统优势产业、培育新兴产业和未来产业的重点任务和工作思路，规模以上工业增加值五年年均增长，关于“十五五”时期末新兴产业增加值及占比的考虑，2021年以来县领导关于新型工业化的重要讲话材料。</w:t>
      </w:r>
      <w:r>
        <w:rPr>
          <w:rFonts w:hint="default" w:ascii="楷体_GB2312" w:hAnsi="楷体_GB2312" w:eastAsia="楷体_GB2312" w:cs="楷体_GB2312"/>
          <w:color w:val="000000"/>
          <w:kern w:val="0"/>
          <w:sz w:val="32"/>
          <w:szCs w:val="32"/>
          <w:lang w:val="en-US" w:eastAsia="zh-CN" w:bidi="ar"/>
        </w:rPr>
        <w:t>〔责任单位：县工业和信息化局〕</w:t>
      </w:r>
    </w:p>
    <w:p w14:paraId="476D2F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全县农业发展情况，农业总产值预计完成情况，面临的困难和问题，正在实施的有关工作方案，“十五五”时期发展重点、思路和设想，粮食综合生产能力，农业总产值五年年均增长，打造全国全省试点示范或重大基地考虑，2021年以来县领导关于农业现代化的重要讲话材料。</w:t>
      </w:r>
      <w:r>
        <w:rPr>
          <w:rFonts w:hint="default" w:ascii="楷体_GB2312" w:hAnsi="楷体_GB2312" w:eastAsia="楷体_GB2312" w:cs="楷体_GB2312"/>
          <w:color w:val="000000"/>
          <w:kern w:val="0"/>
          <w:sz w:val="32"/>
          <w:szCs w:val="32"/>
          <w:lang w:val="en-US" w:eastAsia="zh-CN" w:bidi="ar"/>
        </w:rPr>
        <w:t>〔责任单位：县农业农村局〕</w:t>
      </w:r>
    </w:p>
    <w:p w14:paraId="474A27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“十四五”以来，全县旅游业发展情况，面临的主要问题，正在实施的有关工作方案，“十五五”时期重点任务和工作思路，2021年以来县领导关于旅游产业化发展的重要讲话材料。</w:t>
      </w:r>
      <w:r>
        <w:rPr>
          <w:rFonts w:hint="default" w:ascii="楷体_GB2312" w:hAnsi="楷体_GB2312" w:eastAsia="楷体_GB2312" w:cs="楷体_GB2312"/>
          <w:color w:val="000000"/>
          <w:kern w:val="0"/>
          <w:sz w:val="32"/>
          <w:szCs w:val="32"/>
          <w:lang w:val="en-US" w:eastAsia="zh-CN" w:bidi="ar"/>
        </w:rPr>
        <w:t>〔责任单位：县文化广电旅游局〕</w:t>
      </w:r>
    </w:p>
    <w:p w14:paraId="1278C1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全县现代服务业发展情况，面临的主要困难和问题，正在实施的有关工作方案，“十五五”时期重点任务和工作思路，关于“十五五”时期服务业增加值占GDP比重的目标考虑，2021年以来县领导关于发展现代服务业的重要讲话材料。</w:t>
      </w:r>
      <w:r>
        <w:rPr>
          <w:rFonts w:hint="default" w:ascii="楷体_GB2312" w:hAnsi="楷体_GB2312" w:eastAsia="楷体_GB2312" w:cs="楷体_GB2312"/>
          <w:color w:val="000000"/>
          <w:kern w:val="0"/>
          <w:sz w:val="32"/>
          <w:szCs w:val="32"/>
          <w:lang w:val="en-US" w:eastAsia="zh-CN" w:bidi="ar"/>
        </w:rPr>
        <w:t>〔责任单位：县发展改革局〕</w:t>
      </w:r>
    </w:p>
    <w:p w14:paraId="56964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全县大数据产业发展情况，有关政策措施的实施情况和成效，面临的主要困难和问题，正在实施的有关工作方案，“十五五”时期深入推进数字经济重点任务和工作思路，2021年以来县领导关于发展大数据产业的重要讲话材料。</w:t>
      </w:r>
      <w:r>
        <w:rPr>
          <w:rFonts w:hint="default" w:ascii="楷体_GB2312" w:hAnsi="楷体_GB2312" w:eastAsia="楷体_GB2312" w:cs="楷体_GB2312"/>
          <w:color w:val="000000"/>
          <w:kern w:val="0"/>
          <w:sz w:val="32"/>
          <w:szCs w:val="32"/>
          <w:lang w:val="en-US" w:eastAsia="zh-CN" w:bidi="ar"/>
        </w:rPr>
        <w:t>〔责任单位：县发展改革局（县大数据管理局）〕</w:t>
      </w:r>
    </w:p>
    <w:p w14:paraId="2DAA60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6</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“十四五”以来，全县产业园区发展概况、产业布局及主导产业发展情况，产业园区发展面临的主要困难和问题，“十五五”时期的重点任务和工作思路。</w:t>
      </w:r>
      <w:r>
        <w:rPr>
          <w:rFonts w:hint="default" w:ascii="楷体_GB2312" w:hAnsi="楷体_GB2312" w:eastAsia="楷体_GB2312" w:cs="楷体_GB2312"/>
          <w:color w:val="000000"/>
          <w:kern w:val="0"/>
          <w:sz w:val="32"/>
          <w:szCs w:val="32"/>
          <w:lang w:val="en-US" w:eastAsia="zh-CN" w:bidi="ar"/>
        </w:rPr>
        <w:t>〔责任单位：县工业和信息化局〕</w:t>
      </w:r>
    </w:p>
    <w:p w14:paraId="572E42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（四）科教兴国战略实施情况</w:t>
      </w:r>
    </w:p>
    <w:p w14:paraId="38653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“十四五”以来学前教育、义务教育、高中阶段教育、中职教育、高等教育发展情况，存在的薄弱环节，面临的主要困难和问题，以及“十五五”时期发展教育事业、实施人才强国战略的重点任务和工作思路。</w:t>
      </w:r>
      <w:r>
        <w:rPr>
          <w:rFonts w:hint="default" w:ascii="楷体_GB2312" w:hAnsi="楷体_GB2312" w:eastAsia="楷体_GB2312" w:cs="楷体_GB2312"/>
          <w:color w:val="000000"/>
          <w:kern w:val="0"/>
          <w:sz w:val="32"/>
          <w:szCs w:val="32"/>
          <w:lang w:val="en-US" w:eastAsia="zh-CN" w:bidi="ar"/>
        </w:rPr>
        <w:t>〔责任单位：县教育局〕</w:t>
      </w:r>
    </w:p>
    <w:p w14:paraId="2B934C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全县研发投入现状及存在问题，包括高新技术企业以及众创空间、科技成果转移转化平台、孵化器等创新平台发展现状及存在问题，“十五五”时期落实创新链产业链资金链人才链四链融合、支持创业创新的政策措施，推动实施创新驱动发展战略的重点任务和工作思路。</w:t>
      </w:r>
      <w:r>
        <w:rPr>
          <w:rFonts w:hint="default" w:ascii="楷体_GB2312" w:hAnsi="楷体_GB2312" w:eastAsia="楷体_GB2312" w:cs="楷体_GB2312"/>
          <w:color w:val="000000"/>
          <w:kern w:val="0"/>
          <w:sz w:val="32"/>
          <w:szCs w:val="32"/>
          <w:lang w:val="en-US" w:eastAsia="zh-CN" w:bidi="ar"/>
        </w:rPr>
        <w:t>〔责任单位：县工业和信息化局、县发展改革局（县大数据管理局）〕</w:t>
      </w:r>
    </w:p>
    <w:p w14:paraId="009507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（五）乡村全面振兴推进情况</w:t>
      </w:r>
    </w:p>
    <w:p w14:paraId="677093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十四五”以来我县乡村全面振兴工作推进情况，重点包括乡村产业振兴、人才振兴、文化振兴、生态振兴、组织振兴等领域推进情况，面临的主要困难和问题，以及“十五五”时期推进乡村全面振兴工作的重点任务和工作思路。</w:t>
      </w:r>
      <w:r>
        <w:rPr>
          <w:rFonts w:hint="eastAsia" w:ascii="楷体_GB2312" w:hAnsi="楷体_GB2312" w:eastAsia="楷体_GB2312" w:cs="楷体_GB2312"/>
          <w:color w:val="000000"/>
          <w:kern w:val="0"/>
          <w:sz w:val="32"/>
          <w:szCs w:val="32"/>
          <w:lang w:val="en-US" w:eastAsia="zh-CN" w:bidi="ar"/>
        </w:rPr>
        <w:t>〔责任单位：县农业农村局〕</w:t>
      </w:r>
    </w:p>
    <w:p w14:paraId="658129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（六）基础设施建设情况</w:t>
      </w:r>
    </w:p>
    <w:p w14:paraId="2FF5B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“十四五”以来，全县交通、水利、市政、能源、信息等基础设施建设现状，存在的薄弱环节，面临的突出矛盾和问题，以及“十五五”时期重点领域基础设施的重点任务和工作思路。</w:t>
      </w:r>
      <w:r>
        <w:rPr>
          <w:rFonts w:hint="default" w:ascii="楷体_GB2312" w:hAnsi="楷体_GB2312" w:eastAsia="楷体_GB2312" w:cs="楷体_GB2312"/>
          <w:color w:val="000000"/>
          <w:kern w:val="0"/>
          <w:sz w:val="32"/>
          <w:szCs w:val="32"/>
          <w:lang w:val="en-US" w:eastAsia="zh-CN" w:bidi="ar"/>
        </w:rPr>
        <w:t>〔责任单位：县交通局、县发展改革局、县水务局、县住建局、县工业和信息化局等〕</w:t>
      </w:r>
    </w:p>
    <w:p w14:paraId="7B3668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（七）新型城镇化建设情况</w:t>
      </w:r>
    </w:p>
    <w:p w14:paraId="46FB83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十四五”以来推进新型城镇化战略的举措及成效、面临的主要困难和问题，“十五五”时期继续推进以人为本新型城镇化建设的重点任务和工作思路，以及“十四五”以来县领导关于新型城镇化工作的重要讲话材料。</w:t>
      </w:r>
      <w:r>
        <w:rPr>
          <w:rFonts w:hint="default" w:ascii="楷体_GB2312" w:hAnsi="楷体_GB2312" w:eastAsia="楷体_GB2312" w:cs="楷体_GB2312"/>
          <w:color w:val="000000"/>
          <w:kern w:val="0"/>
          <w:sz w:val="32"/>
          <w:szCs w:val="32"/>
          <w:lang w:val="en-US" w:eastAsia="zh-CN" w:bidi="ar"/>
        </w:rPr>
        <w:t>〔责任单位：县发展改革局、县住建局〕</w:t>
      </w:r>
    </w:p>
    <w:p w14:paraId="47C9E3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2.关于“十五五”时期城镇化率的考虑。</w:t>
      </w:r>
      <w:r>
        <w:rPr>
          <w:rFonts w:hint="default" w:ascii="楷体_GB2312" w:hAnsi="楷体_GB2312" w:eastAsia="楷体_GB2312" w:cs="楷体_GB2312"/>
          <w:color w:val="000000"/>
          <w:kern w:val="0"/>
          <w:sz w:val="32"/>
          <w:szCs w:val="32"/>
          <w:lang w:val="en-US" w:eastAsia="zh-CN" w:bidi="ar"/>
        </w:rPr>
        <w:t>〔责任单位：县发展改革局〕</w:t>
      </w:r>
    </w:p>
    <w:p w14:paraId="691D60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（八）生态文明建设情况</w:t>
      </w:r>
    </w:p>
    <w:p w14:paraId="37C020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“十四五”以来生态文明建设的举措、成效，当前生态文明建设存在的薄弱环节，面临的突出困难和问题，“十五五”时期加快推进生态文明建设先行区建设的重点任务和工作思路。</w:t>
      </w:r>
      <w:r>
        <w:rPr>
          <w:rFonts w:hint="default" w:ascii="楷体_GB2312" w:hAnsi="楷体_GB2312" w:eastAsia="楷体_GB2312" w:cs="楷体_GB2312"/>
          <w:color w:val="000000"/>
          <w:kern w:val="0"/>
          <w:sz w:val="32"/>
          <w:szCs w:val="32"/>
          <w:lang w:val="en-US" w:eastAsia="zh-CN" w:bidi="ar"/>
        </w:rPr>
        <w:t>〔责任单位：县发展改革局〕</w:t>
      </w:r>
    </w:p>
    <w:p w14:paraId="1B4BC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关于“十五五”时期单位生产总值能耗下降目标、主要污染物减排指标和森林覆盖率的考虑。</w:t>
      </w:r>
      <w:r>
        <w:rPr>
          <w:rFonts w:hint="default" w:ascii="楷体_GB2312" w:hAnsi="楷体_GB2312" w:eastAsia="楷体_GB2312" w:cs="楷体_GB2312"/>
          <w:color w:val="000000"/>
          <w:kern w:val="0"/>
          <w:sz w:val="32"/>
          <w:szCs w:val="32"/>
          <w:lang w:val="en-US" w:eastAsia="zh-CN" w:bidi="ar"/>
        </w:rPr>
        <w:t>〔责任单位：县发展改革局、县林业局等相关工作牵头部门〕</w:t>
      </w:r>
    </w:p>
    <w:p w14:paraId="0CA67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（九）区域协调发展和对外开放情况</w:t>
      </w:r>
    </w:p>
    <w:p w14:paraId="50C79E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“十四五”以来区域协调发展和对外开放的有关举措、进展情况，存在的突出问题，以及“十五五”时期统筹区域协调发展、扩大对外开放水平的重点任务和工作思路。</w:t>
      </w:r>
      <w:r>
        <w:rPr>
          <w:rFonts w:hint="default" w:ascii="楷体_GB2312" w:hAnsi="楷体_GB2312" w:eastAsia="楷体_GB2312" w:cs="楷体_GB2312"/>
          <w:color w:val="000000"/>
          <w:kern w:val="0"/>
          <w:sz w:val="32"/>
          <w:szCs w:val="32"/>
          <w:lang w:val="en-US" w:eastAsia="zh-CN" w:bidi="ar"/>
        </w:rPr>
        <w:t>〔责任单位：县发展改革局、县工业和信息化局（县商务局）〕</w:t>
      </w:r>
    </w:p>
    <w:p w14:paraId="2EEE14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“十四五”以来对外贸易发展情况，瓶颈制约以及“十五五”时期的重点任务和工作思路。</w:t>
      </w:r>
      <w:r>
        <w:rPr>
          <w:rFonts w:hint="default" w:ascii="楷体_GB2312" w:hAnsi="楷体_GB2312" w:eastAsia="楷体_GB2312" w:cs="楷体_GB2312"/>
          <w:color w:val="000000"/>
          <w:kern w:val="0"/>
          <w:sz w:val="32"/>
          <w:szCs w:val="32"/>
          <w:lang w:val="en-US" w:eastAsia="zh-CN" w:bidi="ar"/>
        </w:rPr>
        <w:t>〔责任单位：县工业和信息化局（县商务局）〕</w:t>
      </w:r>
    </w:p>
    <w:p w14:paraId="7E2955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（十）卫生健康和人口发展情况</w:t>
      </w:r>
    </w:p>
    <w:p w14:paraId="6B33D4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“十四五”以来医疗卫生公共服务领域的发展现状，存在的薄弱环节，面临的主要困难和问题，以及“十五五”时期的重点任务和工作思路。</w:t>
      </w:r>
      <w:r>
        <w:rPr>
          <w:rFonts w:hint="default" w:ascii="楷体_GB2312" w:hAnsi="楷体_GB2312" w:eastAsia="楷体_GB2312" w:cs="楷体_GB2312"/>
          <w:color w:val="000000"/>
          <w:kern w:val="0"/>
          <w:sz w:val="32"/>
          <w:szCs w:val="32"/>
          <w:lang w:val="en-US" w:eastAsia="zh-CN" w:bidi="ar"/>
        </w:rPr>
        <w:t>〔责任单位：县卫健局〕</w:t>
      </w:r>
    </w:p>
    <w:p w14:paraId="0A0602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“十四五”以来人口规模增长情况，2023年末人口规模和结构，以及对“十五五”末人口规模的预测。</w:t>
      </w:r>
      <w:r>
        <w:rPr>
          <w:rFonts w:hint="default" w:ascii="楷体_GB2312" w:hAnsi="楷体_GB2312" w:eastAsia="楷体_GB2312" w:cs="楷体_GB2312"/>
          <w:color w:val="000000"/>
          <w:kern w:val="0"/>
          <w:sz w:val="32"/>
          <w:szCs w:val="32"/>
          <w:lang w:val="en-US" w:eastAsia="zh-CN" w:bidi="ar"/>
        </w:rPr>
        <w:t>〔责任单位：县卫健局〕</w:t>
      </w:r>
    </w:p>
    <w:p w14:paraId="1C2C27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（十一）文化事业发展情况</w:t>
      </w:r>
    </w:p>
    <w:p w14:paraId="164882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“十四五”以来文化事业发展的现状，存在的薄弱环节，面临的主要困难和问题，“十五五”时期的重点任务和工作思路。</w:t>
      </w:r>
    </w:p>
    <w:p w14:paraId="08FA2A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〔责任单位：县文化广电和旅游局〕</w:t>
      </w:r>
    </w:p>
    <w:p w14:paraId="351954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（十二）社会保障情况</w:t>
      </w:r>
    </w:p>
    <w:p w14:paraId="41F796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“十四五”以来就业、医疗、养老等社会保障情况，存在的薄弱环节，面临的主要困难和问题，以及“十五五”时期重点任务和工作思路。</w:t>
      </w:r>
      <w:r>
        <w:rPr>
          <w:rFonts w:hint="default" w:ascii="楷体_GB2312" w:hAnsi="楷体_GB2312" w:eastAsia="楷体_GB2312" w:cs="楷体_GB2312"/>
          <w:color w:val="000000"/>
          <w:kern w:val="0"/>
          <w:sz w:val="32"/>
          <w:szCs w:val="32"/>
          <w:lang w:val="en-US" w:eastAsia="zh-CN" w:bidi="ar"/>
        </w:rPr>
        <w:t>〔责任单位：县人社局、县民政局、县医疗保障局〕</w:t>
      </w:r>
    </w:p>
    <w:p w14:paraId="3834B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（十三）防范化解地方政府债务风险情况</w:t>
      </w:r>
    </w:p>
    <w:p w14:paraId="1DBB63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“十四五”以来全县地方债务化解情况，存在的困难和问题，“十五五”时期推进地方政府债务化解的目标和思路。</w:t>
      </w:r>
      <w:r>
        <w:rPr>
          <w:rFonts w:hint="default" w:ascii="楷体_GB2312" w:hAnsi="楷体_GB2312" w:eastAsia="楷体_GB2312" w:cs="楷体_GB2312"/>
          <w:color w:val="000000"/>
          <w:kern w:val="0"/>
          <w:sz w:val="32"/>
          <w:szCs w:val="32"/>
          <w:lang w:val="en-US" w:eastAsia="zh-CN" w:bidi="ar"/>
        </w:rPr>
        <w:t>〔责任单位：县财政局〕</w:t>
      </w:r>
    </w:p>
    <w:p w14:paraId="683464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（十四）法治黔南建设情况</w:t>
      </w:r>
    </w:p>
    <w:p w14:paraId="7FDC3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“十四五”以来全县法治政府建设情况，存在的困难和问题，“十五五”时期推进法治长顺建设重点工作打算和思路。</w:t>
      </w:r>
      <w:r>
        <w:rPr>
          <w:rFonts w:hint="default" w:ascii="楷体_GB2312" w:hAnsi="楷体_GB2312" w:eastAsia="楷体_GB2312" w:cs="楷体_GB2312"/>
          <w:color w:val="000000"/>
          <w:kern w:val="0"/>
          <w:sz w:val="32"/>
          <w:szCs w:val="32"/>
          <w:lang w:val="en-US" w:eastAsia="zh-CN" w:bidi="ar"/>
        </w:rPr>
        <w:t>〔责任单位：县司法局〕</w:t>
      </w:r>
    </w:p>
    <w:p w14:paraId="76078A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（十五）体制机制深化改革情况</w:t>
      </w:r>
    </w:p>
    <w:p w14:paraId="714D7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“十四五”以来有关体制机制深化改革政策的实施进展、成效，存在的障碍和问题，“十五五”时期进一步推进关键领域体制机制改革的思路和建议。</w:t>
      </w:r>
      <w:r>
        <w:rPr>
          <w:rFonts w:hint="default" w:ascii="楷体_GB2312" w:hAnsi="楷体_GB2312" w:eastAsia="楷体_GB2312" w:cs="楷体_GB2312"/>
          <w:color w:val="000000"/>
          <w:kern w:val="0"/>
          <w:sz w:val="32"/>
          <w:szCs w:val="32"/>
          <w:lang w:val="en-US" w:eastAsia="zh-CN" w:bidi="ar"/>
        </w:rPr>
        <w:t>〔责任单位：县委改革办、县财政局、县发展改革局、县金融服务中心等〕</w:t>
      </w:r>
    </w:p>
    <w:p w14:paraId="437328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TcxZDI3ZDcxYjU2MDY2NDg2ZjkyYjMxMmNjMjEifQ=="/>
  </w:docVars>
  <w:rsids>
    <w:rsidRoot w:val="7DB370E5"/>
    <w:rsid w:val="042D4A0E"/>
    <w:rsid w:val="04C1612F"/>
    <w:rsid w:val="084867EB"/>
    <w:rsid w:val="09F54765"/>
    <w:rsid w:val="0AFA4A7D"/>
    <w:rsid w:val="0C8F2C81"/>
    <w:rsid w:val="0FE5399E"/>
    <w:rsid w:val="174D4EC5"/>
    <w:rsid w:val="17B17907"/>
    <w:rsid w:val="1B531170"/>
    <w:rsid w:val="1C9059B3"/>
    <w:rsid w:val="203E4FBA"/>
    <w:rsid w:val="233A58EB"/>
    <w:rsid w:val="235B49A8"/>
    <w:rsid w:val="2B462D9F"/>
    <w:rsid w:val="2E384CA8"/>
    <w:rsid w:val="30352638"/>
    <w:rsid w:val="305A309B"/>
    <w:rsid w:val="33CC6F03"/>
    <w:rsid w:val="34E4173C"/>
    <w:rsid w:val="357018A1"/>
    <w:rsid w:val="36531DED"/>
    <w:rsid w:val="3C6A6A22"/>
    <w:rsid w:val="3C72278C"/>
    <w:rsid w:val="3F0C4BC5"/>
    <w:rsid w:val="447D026F"/>
    <w:rsid w:val="49665B41"/>
    <w:rsid w:val="5254282B"/>
    <w:rsid w:val="528B0B6E"/>
    <w:rsid w:val="52DA01C6"/>
    <w:rsid w:val="551D7268"/>
    <w:rsid w:val="597C66FD"/>
    <w:rsid w:val="5D022E67"/>
    <w:rsid w:val="5D244672"/>
    <w:rsid w:val="61272DD8"/>
    <w:rsid w:val="62B11848"/>
    <w:rsid w:val="635B295C"/>
    <w:rsid w:val="655E1E34"/>
    <w:rsid w:val="67DB73D9"/>
    <w:rsid w:val="693F4714"/>
    <w:rsid w:val="69683F24"/>
    <w:rsid w:val="69FC640B"/>
    <w:rsid w:val="6A3661B3"/>
    <w:rsid w:val="6BB25937"/>
    <w:rsid w:val="6D0953DD"/>
    <w:rsid w:val="6F334B97"/>
    <w:rsid w:val="6FB8383A"/>
    <w:rsid w:val="71C3631B"/>
    <w:rsid w:val="72557F69"/>
    <w:rsid w:val="7A113C2C"/>
    <w:rsid w:val="7A3E4F7A"/>
    <w:rsid w:val="7DB370E5"/>
    <w:rsid w:val="7EAD5FA8"/>
    <w:rsid w:val="7F2A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val="0"/>
      <w:keepLines w:val="0"/>
      <w:widowControl w:val="0"/>
      <w:suppressLineNumbers w:val="0"/>
      <w:autoSpaceDE w:val="0"/>
      <w:autoSpaceDN w:val="0"/>
      <w:spacing w:before="0" w:beforeAutospacing="0" w:after="0" w:afterAutospacing="0"/>
      <w:ind w:left="227" w:right="454"/>
      <w:jc w:val="center"/>
      <w:outlineLvl w:val="0"/>
    </w:pPr>
    <w:rPr>
      <w:rFonts w:hint="eastAsia" w:ascii="方正小标宋简体" w:hAnsi="方正小标宋简体" w:eastAsia="方正小标宋简体" w:cs="方正小标宋简体"/>
      <w:kern w:val="0"/>
      <w:sz w:val="44"/>
      <w:szCs w:val="44"/>
      <w:lang w:val="en-US" w:eastAsia="zh-CN" w:bidi="ar"/>
    </w:rPr>
  </w:style>
  <w:style w:type="character" w:default="1" w:styleId="7">
    <w:name w:val="Default Paragraph Font"/>
    <w:semiHidden/>
    <w:qFormat/>
    <w:uiPriority w:val="0"/>
  </w:style>
  <w:style w:type="table" w:default="1" w:styleId="6">
    <w:name w:val="Normal Table"/>
    <w:semiHidden/>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Times New Roman"/>
      <w:sz w:val="22"/>
      <w:szCs w:val="22"/>
      <w:lang w:eastAsia="en-US"/>
    </w:rPr>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ody Text"/>
    <w:basedOn w:val="1"/>
    <w:link w:val="9"/>
    <w:uiPriority w:val="0"/>
    <w:pPr>
      <w:keepNext w:val="0"/>
      <w:keepLines w:val="0"/>
      <w:widowControl w:val="0"/>
      <w:suppressLineNumbers w:val="0"/>
      <w:autoSpaceDE w:val="0"/>
      <w:autoSpaceDN w:val="0"/>
      <w:spacing w:before="0" w:beforeAutospacing="0" w:after="0" w:afterAutospacing="0"/>
      <w:ind w:left="206" w:right="0"/>
      <w:jc w:val="left"/>
    </w:pPr>
    <w:rPr>
      <w:rFonts w:hint="eastAsia" w:ascii="仿宋_GB2312" w:hAnsi="仿宋_GB2312" w:eastAsia="仿宋_GB2312" w:cs="仿宋_GB2312"/>
      <w:kern w:val="0"/>
      <w:sz w:val="32"/>
      <w:szCs w:val="32"/>
      <w:lang w:val="en-US" w:eastAsia="zh-CN" w:bidi="ar"/>
    </w:rPr>
  </w:style>
  <w:style w:type="paragraph" w:styleId="5">
    <w:name w:val="Normal (Web)"/>
    <w:basedOn w:val="1"/>
    <w:uiPriority w:val="0"/>
    <w:rPr>
      <w:sz w:val="24"/>
    </w:rPr>
  </w:style>
  <w:style w:type="character" w:styleId="8">
    <w:name w:val="Hyperlink"/>
    <w:basedOn w:val="7"/>
    <w:qFormat/>
    <w:uiPriority w:val="0"/>
    <w:rPr>
      <w:color w:val="0000FF"/>
      <w:u w:val="single"/>
    </w:rPr>
  </w:style>
  <w:style w:type="character" w:customStyle="1" w:styleId="9">
    <w:name w:val="正文文本 字符"/>
    <w:basedOn w:val="7"/>
    <w:link w:val="4"/>
    <w:uiPriority w:val="0"/>
    <w:rPr>
      <w:rFonts w:hint="eastAsia" w:ascii="仿宋_GB2312" w:hAnsi="仿宋_GB2312" w:eastAsia="仿宋_GB2312" w:cs="仿宋_GB2312"/>
      <w:sz w:val="32"/>
      <w:szCs w:val="32"/>
    </w:rPr>
  </w:style>
  <w:style w:type="paragraph" w:customStyle="1" w:styleId="10">
    <w:name w:val="msolistparagraph"/>
    <w:basedOn w:val="1"/>
    <w:uiPriority w:val="0"/>
    <w:pPr>
      <w:keepNext w:val="0"/>
      <w:keepLines w:val="0"/>
      <w:widowControl w:val="0"/>
      <w:suppressLineNumbers w:val="0"/>
      <w:autoSpaceDE w:val="0"/>
      <w:autoSpaceDN w:val="0"/>
      <w:spacing w:before="4" w:beforeAutospacing="0" w:after="0" w:afterAutospacing="0"/>
      <w:ind w:left="206" w:right="433" w:firstLine="640"/>
      <w:jc w:val="both"/>
    </w:pPr>
    <w:rPr>
      <w:rFonts w:hint="eastAsia" w:ascii="仿宋_GB2312" w:hAnsi="仿宋_GB2312" w:eastAsia="仿宋_GB2312" w:cs="仿宋_GB2312"/>
      <w:kern w:val="0"/>
      <w:sz w:val="22"/>
      <w:szCs w:val="22"/>
      <w:lang w:val="en-US" w:eastAsia="zh-CN" w:bidi="ar"/>
    </w:rPr>
  </w:style>
  <w:style w:type="character" w:customStyle="1" w:styleId="11">
    <w:name w:val="标题 1 字符"/>
    <w:basedOn w:val="7"/>
    <w:link w:val="2"/>
    <w:uiPriority w:val="0"/>
    <w:rPr>
      <w:rFonts w:hint="eastAsia"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509</Words>
  <Characters>579</Characters>
  <Lines>0</Lines>
  <Paragraphs>0</Paragraphs>
  <TotalTime>39</TotalTime>
  <ScaleCrop>false</ScaleCrop>
  <LinksUpToDate>false</LinksUpToDate>
  <CharactersWithSpaces>641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2021-09-01T01:33:00Z</dcterms:created>
  <dc:creator>MIss.lzt</dc:creator>
  <cp:lastModifiedBy>墨点花清</cp:lastModifiedBy>
  <dcterms:modified xsi:type="dcterms:W3CDTF">2024-11-14T08:47:32Z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96215E35702C42188409C7B1ECAA3A1F_13</vt:lpwstr>
  </property>
</Properties>
</file>